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0.png" ContentType="image/png"/>
  <Override PartName="/word/media/rId5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 A view from outer space</w:t>
      </w:r>
    </w:p>
    <w:p>
      <w:pPr>
        <w:pStyle w:val="Subtitle"/>
      </w:pPr>
      <w:r>
        <w:t xml:space="preserve">Replication and extension using spatial Durbin models</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3" w:name="data-model-specification-and-extensions"/>
    <w:p>
      <w:pPr>
        <w:pStyle w:val="Heading2"/>
      </w:pPr>
      <w:r>
        <w:t xml:space="preserve">Data, model specification, and extensions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(2021)</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argue that nightlight data better captures aggregate economic activity compared to household surveys. Similarly,</w:t>
      </w:r>
      <w:r>
        <w:t xml:space="preserve"> </w:t>
      </w:r>
      <w:r>
        <w:t xml:space="preserve">Lessmann and Seidel (2017)</w:t>
      </w:r>
      <w:r>
        <w:t xml:space="preserve"> </w:t>
      </w:r>
      <w:r>
        <w:t xml:space="preserve">leverage nightlight data to estimate GDP per capita and income inequality globally, and</w:t>
      </w:r>
      <w:r>
        <w:t xml:space="preserve"> </w:t>
      </w:r>
      <w:r>
        <w:t xml:space="preserve">Gennaioli et al. (2014)</w:t>
      </w:r>
      <w:r>
        <w:t xml:space="preserve"> </w:t>
      </w:r>
      <w:r>
        <w:t xml:space="preserve">study regional convergence through the lens of light data.</w:t>
      </w:r>
    </w:p>
    <w:p>
      <w:pPr>
        <w:pStyle w:val="BodyText"/>
      </w:pPr>
      <w:r>
        <w:t xml:space="preserve">Nightlight data has been widely utilized in India across various contexts. For example,</w:t>
      </w:r>
      <w:r>
        <w:t xml:space="preserve"> </w:t>
      </w:r>
      <w:r>
        <w:t xml:space="preserve">Asher and Novosad (2016)</w:t>
      </w:r>
      <w:r>
        <w:t xml:space="preserve"> </w:t>
      </w:r>
      <w:r>
        <w:t xml:space="preserve">and</w:t>
      </w:r>
      <w:r>
        <w:t xml:space="preserve"> </w:t>
      </w:r>
      <w:r>
        <w:t xml:space="preserve">Cook and Shah (2022)</w:t>
      </w:r>
      <w:r>
        <w:t xml:space="preserve"> </w:t>
      </w:r>
      <w:r>
        <w:t xml:space="preserve">use nightlight data to analyze the impact of road infrastructure and public welfare programs, respectively. Similarly,</w:t>
      </w:r>
      <w:r>
        <w:t xml:space="preserve"> </w:t>
      </w:r>
      <w:r>
        <w:t xml:space="preserve">Jha and Talathi (2023)</w:t>
      </w:r>
      <w:r>
        <w:t xml:space="preserve"> </w:t>
      </w:r>
      <w:r>
        <w:t xml:space="preserve">examine the effects of colonization, while</w:t>
      </w:r>
      <w:r>
        <w:t xml:space="preserve"> </w:t>
      </w:r>
      <w:r>
        <w:t xml:space="preserve">Chanda and Cook (2022)</w:t>
      </w:r>
      <w:r>
        <w:t xml:space="preserve"> </w:t>
      </w:r>
      <w:r>
        <w:t xml:space="preserve">investigate the impact of demonetization using nightlight data.</w:t>
      </w:r>
      <w:r>
        <w:t xml:space="preserve"> </w:t>
      </w:r>
      <w:r>
        <w:t xml:space="preserve">Beyer, Franco-Bedoya, and Galdo (2021)</w:t>
      </w:r>
      <w:r>
        <w:t xml:space="preserve"> </w:t>
      </w:r>
      <w:r>
        <w:t xml:space="preserve">employ it to study the effects of COVID-19. In the context of convergence studies,</w:t>
      </w:r>
      <w:r>
        <w:t xml:space="preserve"> </w:t>
      </w:r>
      <w:r>
        <w:t xml:space="preserve">Chakravarty and Dehejia (2017)</w:t>
      </w:r>
      <w:r>
        <w:t xml:space="preserve"> </w:t>
      </w:r>
      <w:r>
        <w:t xml:space="preserve">finds state-level divergence in India using nightlight data, while</w:t>
      </w:r>
      <w:r>
        <w:t xml:space="preserve"> </w:t>
      </w:r>
      <w:r>
        <w:t xml:space="preserve">(Chanda and Kabiraj 2020)</w:t>
      </w:r>
      <w:r>
        <w:t xml:space="preserve"> </w:t>
      </w:r>
      <w:r>
        <w:t xml:space="preserve">highlights district-level convergence using the same.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32" w:name="Xbeabb0a57a64a5ce89d426f0656ebf5c1845881"/>
    <w:p>
      <w:pPr>
        <w:pStyle w:val="Heading3"/>
      </w:pPr>
      <w:r>
        <w:t xml:space="preserve">Extensions: Interactive visualizations, spatial dependence testing, and spillover modeling</w:t>
      </w:r>
    </w:p>
    <w:bookmarkStart w:id="26" w:name="interactive-spatial-visualizations"/>
    <w:p>
      <w:pPr>
        <w:pStyle w:val="Heading4"/>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4"/>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4"/>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End w:id="33"/>
    <w:bookmarkStart w:id="59" w:name="results-replication-and-extensions"/>
    <w:p>
      <w:pPr>
        <w:pStyle w:val="Heading2"/>
      </w:pPr>
      <w:r>
        <w:t xml:space="preserve">Results: Replication and extensions</w:t>
      </w:r>
    </w:p>
    <w:bookmarkStart w:id="50"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4"/>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9" w:name="fig-map"/>
          <w:p>
            <w:pPr>
              <w:pStyle w:val="Compact"/>
              <w:jc w:val="center"/>
            </w:pPr>
            <w:r>
              <w:drawing>
                <wp:inline>
                  <wp:extent cx="5334000" cy="3030721"/>
                  <wp:effectExtent b="0" l="0" r="0" t="0"/>
                  <wp:docPr descr="" title="" id="37" name="Picture"/>
                  <a:graphic>
                    <a:graphicData uri="http://schemas.openxmlformats.org/drawingml/2006/picture">
                      <pic:pic>
                        <pic:nvPicPr>
                          <pic:cNvPr descr="images/luminosity_map.png" id="38" name="Picture"/>
                          <pic:cNvPicPr>
                            <a:picLocks noChangeArrowheads="1" noChangeAspect="1"/>
                          </pic:cNvPicPr>
                        </pic:nvPicPr>
                        <pic:blipFill>
                          <a:blip r:embed="rId36"/>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9"/>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3" w:name="fig-map2"/>
          <w:p>
            <w:pPr>
              <w:pStyle w:val="Compact"/>
              <w:jc w:val="center"/>
            </w:pPr>
            <w:r>
              <w:drawing>
                <wp:inline>
                  <wp:extent cx="4000500" cy="7241369"/>
                  <wp:effectExtent b="0" l="0" r="0" t="0"/>
                  <wp:docPr descr="" title="" id="41" name="Picture"/>
                  <a:graphic>
                    <a:graphicData uri="http://schemas.openxmlformats.org/drawingml/2006/picture">
                      <pic:pic>
                        <pic:nvPicPr>
                          <pic:cNvPr descr="images/luminosity_map2.png" id="42" name="Picture"/>
                          <pic:cNvPicPr>
                            <a:picLocks noChangeArrowheads="1" noChangeAspect="1"/>
                          </pic:cNvPicPr>
                        </pic:nvPicPr>
                        <pic:blipFill>
                          <a:blip r:embed="rId40"/>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3"/>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4"/>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8" w:name="fig-convergence"/>
          <w:p>
            <w:pPr>
              <w:pStyle w:val="Compact"/>
              <w:jc w:val="center"/>
            </w:pPr>
            <w:r>
              <w:drawing>
                <wp:inline>
                  <wp:extent cx="5334000" cy="3810000"/>
                  <wp:effectExtent b="0" l="0" r="0" t="0"/>
                  <wp:docPr descr="" title="" id="46" name="Picture"/>
                  <a:graphic>
                    <a:graphicData uri="http://schemas.openxmlformats.org/drawingml/2006/picture">
                      <pic:pic>
                        <pic:nvPicPr>
                          <pic:cNvPr descr="index_files/figure-docx/notebooks-scatterplots-fig-convergence-output-2.png" id="47"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p>
          <w:bookmarkEnd w:id="48"/>
        </w:tc>
      </w:tr>
    </w:tbl>
    <w:p>
      <w:pPr>
        <w:pStyle w:val="BodyText"/>
      </w:pPr>
      <w:r>
        <w:rPr>
          <w:vertAlign w:val="subscript"/>
        </w:rPr>
        <w:t xml:space="preserve">Source:</w:t>
      </w:r>
      <w:r>
        <w:rPr>
          <w:vertAlign w:val="subscript"/>
        </w:rPr>
        <w:t xml:space="preserve"> </w:t>
      </w:r>
      <w:hyperlink r:id="rId49">
        <w:r>
          <w:rPr>
            <w:rStyle w:val="Hyperlink"/>
            <w:vertAlign w:val="subscript"/>
          </w:rPr>
          <w:t xml:space="preserve">Scatterplots for Regional Convergence Analysis</w:t>
        </w:r>
      </w:hyperlink>
    </w:p>
    <w:bookmarkEnd w:id="50"/>
    <w:bookmarkStart w:id="56"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4" w:name="fig-dependence-combined"/>
          <w:p>
            <w:pPr>
              <w:pStyle w:val="Compact"/>
              <w:jc w:val="center"/>
            </w:pPr>
            <w:r>
              <w:drawing>
                <wp:inline>
                  <wp:extent cx="5334000" cy="3810000"/>
                  <wp:effectExtent b="0" l="0" r="0" t="0"/>
                  <wp:docPr descr="" title="" id="52" name="Picture"/>
                  <a:graphic>
                    <a:graphicData uri="http://schemas.openxmlformats.org/drawingml/2006/picture">
                      <pic:pic>
                        <pic:nvPicPr>
                          <pic:cNvPr descr="index_files/figure-docx/notebooks-dependence-fig-dependence-combined-output-2.png" id="53"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dependence in the growth rate and initial level of luminosity</w:t>
            </w:r>
          </w:p>
          <w:bookmarkEnd w:id="54"/>
        </w:tc>
      </w:tr>
    </w:tbl>
    <w:p>
      <w:pPr>
        <w:pStyle w:val="BodyText"/>
      </w:pPr>
      <w:r>
        <w:rPr>
          <w:vertAlign w:val="subscript"/>
        </w:rPr>
        <w:t xml:space="preserve">Source:</w:t>
      </w:r>
      <w:r>
        <w:rPr>
          <w:vertAlign w:val="subscript"/>
        </w:rPr>
        <w:t xml:space="preserve"> </w:t>
      </w:r>
      <w:hyperlink r:id="rId55">
        <w:r>
          <w:rPr>
            <w:rStyle w:val="Hyperlink"/>
            <w:vertAlign w:val="subscript"/>
          </w:rPr>
          <w:t xml:space="preserve">Spatial dependence</w:t>
        </w:r>
      </w:hyperlink>
    </w:p>
    <w:bookmarkEnd w:id="56"/>
    <w:bookmarkStart w:id="58" w:name="X41eeb2db36ea087744e3e3d7a52b3043533267d"/>
    <w:p>
      <w:pPr>
        <w:pStyle w:val="Heading3"/>
      </w:pPr>
      <w:r>
        <w:t xml:space="preserve">Spatial spillovers accelerate regional convergence</w:t>
      </w:r>
    </w:p>
    <w:p>
      <w:pPr>
        <w:pStyle w:val="FirstParagraph"/>
      </w:pPr>
      <w:r>
        <w:t xml:space="preserve">The regression results of TableX 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57"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-0.002</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-0.008</w:t>
                  </w:r>
                </w:p>
              </w:tc>
              <w:tc>
                <w:tcPr/>
                <w:p>
                  <w:pPr>
                    <w:pStyle w:val="Compact"/>
                    <w:jc w:val="center"/>
                  </w:pPr>
                  <w:r>
                    <w:t xml:space="preserve">–</w:t>
                  </w:r>
                </w:p>
              </w:tc>
              <w:tc>
                <w:tcPr/>
                <w:p>
                  <w:pPr>
                    <w:pStyle w:val="Compact"/>
                    <w:jc w:val="center"/>
                  </w:pPr>
                  <w:r>
                    <w:t xml:space="preserve">-0.009*</w:t>
                  </w:r>
                </w:p>
              </w:tc>
            </w:tr>
            <w:tr>
              <w:tc>
                <w:tcPr/>
                <w:p>
                  <w:pPr>
                    <w:pStyle w:val="Compact"/>
                  </w:pPr>
                </w:p>
              </w:tc>
              <w:tc>
                <w:tcPr/>
                <w:p>
                  <w:pPr>
                    <w:pStyle w:val="Compact"/>
                  </w:pPr>
                </w:p>
              </w:tc>
              <w:tc>
                <w:tcPr/>
                <w:p>
                  <w:pPr>
                    <w:pStyle w:val="Compact"/>
                    <w:jc w:val="center"/>
                  </w:pPr>
                  <w:r>
                    <w:t xml:space="preserve">(0.004)</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-0.029***</w:t>
                  </w:r>
                </w:p>
              </w:tc>
              <w:tc>
                <w:tcPr/>
                <w:p>
                  <w:pPr>
                    <w:pStyle w:val="Compact"/>
                    <w:jc w:val="center"/>
                  </w:pPr>
                  <w:r>
                    <w:t xml:space="preserve">-0.025***</w:t>
                  </w:r>
                </w:p>
              </w:tc>
              <w:tc>
                <w:tcPr/>
                <w:p>
                  <w:pPr>
                    <w:pStyle w:val="Compact"/>
                    <w:jc w:val="center"/>
                  </w:pPr>
                  <w:r>
                    <w:t xml:space="preserve">-0.034***</w:t>
                  </w:r>
                </w:p>
              </w:tc>
              <w:tc>
                <w:tcPr/>
                <w:p>
                  <w:pPr>
                    <w:pStyle w:val="Compact"/>
                    <w:jc w:val="center"/>
                  </w:pPr>
                  <w:r>
                    <w:t xml:space="preserve">-0.025***</w:t>
                  </w:r>
                </w:p>
              </w:tc>
              <w:tc>
                <w:tcPr/>
                <w:p>
                  <w:pPr>
                    <w:pStyle w:val="Compact"/>
                    <w:jc w:val="center"/>
                  </w:pPr>
                  <w:r>
                    <w:t xml:space="preserve">-0.034***</w:t>
                  </w:r>
                </w:p>
              </w:tc>
            </w:tr>
            <w:tr>
              <w:tc>
                <w:tcPr/>
                <w:p>
                  <w:pPr>
                    <w:pStyle w:val="Compact"/>
                  </w:pPr>
                </w:p>
              </w:tc>
              <w:tc>
                <w:tcPr/>
                <w:p>
                  <w:pPr>
                    <w:pStyle w:val="Compact"/>
                    <w:jc w:val="center"/>
                  </w:pPr>
                  <w:r>
                    <w:t xml:space="preserve">(0.002)</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(0.007)</w:t>
                  </w:r>
                </w:p>
              </w:tc>
              <w:tc>
                <w:tcPr/>
                <w:p>
                  <w:pPr>
                    <w:pStyle w:val="Compact"/>
                    <w:jc w:val="center"/>
                  </w:pPr>
                  <w:r>
                    <w:t xml:space="preserve">(0.003)</w:t>
                  </w:r>
                </w:p>
              </w:tc>
              <w:tc>
                <w:tcPr/>
                <w:p>
                  <w:pPr>
                    <w:pStyle w:val="Compact"/>
                    <w:jc w:val="center"/>
                  </w:pPr>
                  <w:r>
                    <w:t xml:space="preserve">(0.005)</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-2278</w:t>
                  </w:r>
                </w:p>
              </w:tc>
              <w:tc>
                <w:tcPr/>
                <w:p>
                  <w:pPr>
                    <w:pStyle w:val="Compact"/>
                    <w:jc w:val="center"/>
                  </w:pPr>
                  <w:r>
                    <w:t xml:space="preserve">-2413</w:t>
                  </w:r>
                </w:p>
              </w:tc>
              <w:tc>
                <w:tcPr/>
                <w:p>
                  <w:pPr>
                    <w:pStyle w:val="Compact"/>
                    <w:jc w:val="center"/>
                  </w:pPr>
                  <w:r>
                    <w:t xml:space="preserve">-2457</w:t>
                  </w:r>
                </w:p>
              </w:tc>
              <w:tc>
                <w:tcPr/>
                <w:p>
                  <w:pPr>
                    <w:pStyle w:val="Compact"/>
                    <w:jc w:val="center"/>
                  </w:pPr>
                  <w:r>
                    <w:t xml:space="preserve">-2211</w:t>
                  </w:r>
                </w:p>
              </w:tc>
              <w:tc>
                <w:tcPr/>
                <w:p>
                  <w:pPr>
                    <w:pStyle w:val="Compact"/>
                    <w:jc w:val="center"/>
                  </w:pPr>
                  <w:r>
                    <w:t xml:space="preserve">-2345</w:t>
                  </w:r>
                </w:p>
              </w:tc>
              <w:tc>
                <w:tcPr/>
                <w:p>
                  <w:pPr>
                    <w:pStyle w:val="Compact"/>
                    <w:jc w:val="center"/>
                  </w:pPr>
                  <w:r>
                    <w:t xml:space="preserve">-2469</w:t>
                  </w:r>
                </w:p>
              </w:tc>
              <w:tc>
                <w:tcPr/>
                <w:p>
                  <w:pPr>
                    <w:pStyle w:val="Compact"/>
                    <w:jc w:val="center"/>
                  </w:pPr>
                  <w:r>
                    <w:t xml:space="preserve">-2462</w:t>
                  </w:r>
                </w:p>
              </w:tc>
            </w:tr>
          </w:tbl>
          <w:bookmarkEnd w:id="57"/>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-0.009,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(-0.034) is approximately 36%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58"/>
    <w:bookmarkEnd w:id="59"/>
    <w:bookmarkStart w:id="80"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79" w:name="refs"/>
    <w:bookmarkStart w:id="61" w:name="ref-adhikari.dhitalEI2021"/>
    <w:p>
      <w:pPr>
        <w:pStyle w:val="Bibliography"/>
      </w:pPr>
      <w:r>
        <w:t xml:space="preserve">Adhikari, Bibek, and Saroj Dhital. 2021.</w:t>
      </w:r>
      <w:r>
        <w:t xml:space="preserve"> </w:t>
      </w:r>
      <w:r>
        <w:t xml:space="preserve">“Decentralization and Regional Convergence: Evidence from Night-Time Lights Data.”</w:t>
      </w:r>
      <w:r>
        <w:t xml:space="preserve"> </w:t>
      </w:r>
      <w:r>
        <w:rPr>
          <w:i/>
          <w:iCs/>
        </w:rPr>
        <w:t xml:space="preserve">Economic Inquiry</w:t>
      </w:r>
      <w:r>
        <w:t xml:space="preserve"> </w:t>
      </w:r>
      <w:r>
        <w:t xml:space="preserve">59 (3): 1066–88. https://doi.org/</w:t>
      </w:r>
      <w:hyperlink r:id="rId60">
        <w:r>
          <w:rPr>
            <w:rStyle w:val="Hyperlink"/>
          </w:rPr>
          <w:t xml:space="preserve">https://doi.org/10.1111/ecin.12967</w:t>
        </w:r>
      </w:hyperlink>
      <w:r>
        <w:t xml:space="preserve">.</w:t>
      </w:r>
    </w:p>
    <w:bookmarkEnd w:id="61"/>
    <w:bookmarkStart w:id="62" w:name="ref-asher2016market"/>
    <w:p>
      <w:pPr>
        <w:pStyle w:val="Bibliography"/>
      </w:pPr>
      <w:r>
        <w:t xml:space="preserve">Asher, Sam, and Paul Novosad. 2016.</w:t>
      </w:r>
      <w:r>
        <w:t xml:space="preserve"> </w:t>
      </w:r>
      <w:r>
        <w:t xml:space="preserve">“Market Access and Structural Transformation:</w:t>
      </w:r>
      <w:r>
        <w:t xml:space="preserve"> </w:t>
      </w:r>
      <w:r>
        <w:t xml:space="preserve">Evidence</w:t>
      </w:r>
      <w:r>
        <w:t xml:space="preserve"> </w:t>
      </w:r>
      <w:r>
        <w:t xml:space="preserve">from Rural Roads in</w:t>
      </w:r>
      <w:r>
        <w:t xml:space="preserve"> </w:t>
      </w:r>
      <w:r>
        <w:t xml:space="preserve">India</w:t>
      </w:r>
      <w:r>
        <w:t xml:space="preserve">.”</w:t>
      </w:r>
      <w:r>
        <w:t xml:space="preserve"> </w:t>
      </w:r>
      <w:r>
        <w:rPr>
          <w:i/>
          <w:iCs/>
        </w:rPr>
        <w:t xml:space="preserve">Job Market Paper January</w:t>
      </w:r>
      <w:r>
        <w:t xml:space="preserve"> </w:t>
      </w:r>
      <w:r>
        <w:t xml:space="preserve">11: 2016.</w:t>
      </w:r>
    </w:p>
    <w:bookmarkEnd w:id="62"/>
    <w:bookmarkStart w:id="63" w:name="ref-beyer.etalWD2021"/>
    <w:p>
      <w:pPr>
        <w:pStyle w:val="Bibliography"/>
      </w:pPr>
      <w:r>
        <w:t xml:space="preserve">Beyer, Robert CM, Sebastian Franco-Bedoya, and Virgilio Galdo. 2021.</w:t>
      </w:r>
      <w:r>
        <w:t xml:space="preserve"> </w:t>
      </w:r>
      <w:r>
        <w:t xml:space="preserve">“Examining the Economic Impact of COVID-19 in India Through Daily Electricity Consumption and Nighttime Light Intensity.”</w:t>
      </w:r>
      <w:r>
        <w:t xml:space="preserve"> </w:t>
      </w:r>
      <w:r>
        <w:rPr>
          <w:i/>
          <w:iCs/>
        </w:rPr>
        <w:t xml:space="preserve">World Development</w:t>
      </w:r>
      <w:r>
        <w:t xml:space="preserve"> </w:t>
      </w:r>
      <w:r>
        <w:t xml:space="preserve">140: 105287.</w:t>
      </w:r>
    </w:p>
    <w:bookmarkEnd w:id="63"/>
    <w:bookmarkStart w:id="64" w:name="ref-chakravarty2017will"/>
    <w:p>
      <w:pPr>
        <w:pStyle w:val="Bibliography"/>
      </w:pPr>
      <w:r>
        <w:t xml:space="preserve">Chakravarty, Praveen, and Vivek Dehejia. 2017.</w:t>
      </w:r>
      <w:r>
        <w:t xml:space="preserve"> </w:t>
      </w:r>
      <w:r>
        <w:t xml:space="preserve">“Will GST Exacerbate Regional Divergence.”</w:t>
      </w:r>
      <w:r>
        <w:t xml:space="preserve"> </w:t>
      </w:r>
      <w:r>
        <w:rPr>
          <w:i/>
          <w:iCs/>
        </w:rPr>
        <w:t xml:space="preserve">Economic and Political Weekly</w:t>
      </w:r>
      <w:r>
        <w:t xml:space="preserve"> </w:t>
      </w:r>
      <w:r>
        <w:t xml:space="preserve">52 (25&amp;26): 97–101.</w:t>
      </w:r>
    </w:p>
    <w:bookmarkEnd w:id="64"/>
    <w:bookmarkStart w:id="66" w:name="ref-chanda.cookJoM2022"/>
    <w:p>
      <w:pPr>
        <w:pStyle w:val="Bibliography"/>
      </w:pPr>
      <w:r>
        <w:t xml:space="preserve">Chanda, Areendam, and C. Justin Cook. 2022.</w:t>
      </w:r>
      <w:r>
        <w:t xml:space="preserve"> </w:t>
      </w:r>
      <w:r>
        <w:t xml:space="preserve">“Was</w:t>
      </w:r>
      <w:r>
        <w:t xml:space="preserve"> </w:t>
      </w:r>
      <w:r>
        <w:t xml:space="preserve">India’s</w:t>
      </w:r>
      <w:r>
        <w:t xml:space="preserve"> </w:t>
      </w:r>
      <w:r>
        <w:t xml:space="preserve">Demonetization Redistributive? Insights from Satellites and Surveys.”</w:t>
      </w:r>
      <w:r>
        <w:t xml:space="preserve"> </w:t>
      </w:r>
      <w:r>
        <w:rPr>
          <w:i/>
          <w:iCs/>
        </w:rPr>
        <w:t xml:space="preserve">Journal of Macroeconomics</w:t>
      </w:r>
      <w:r>
        <w:t xml:space="preserve"> </w:t>
      </w:r>
      <w:r>
        <w:t xml:space="preserve">73 (September): 103438.</w:t>
      </w:r>
      <w:r>
        <w:t xml:space="preserve"> </w:t>
      </w:r>
      <w:hyperlink r:id="rId65">
        <w:r>
          <w:rPr>
            <w:rStyle w:val="Hyperlink"/>
          </w:rPr>
          <w:t xml:space="preserve">https://doi.org/10.1016/j.jmacro.2022.103438</w:t>
        </w:r>
      </w:hyperlink>
      <w:r>
        <w:t xml:space="preserve">.</w:t>
      </w:r>
    </w:p>
    <w:bookmarkEnd w:id="66"/>
    <w:bookmarkStart w:id="67" w:name="ref-chanda2020"/>
    <w:p>
      <w:pPr>
        <w:pStyle w:val="Bibliography"/>
      </w:pPr>
      <w:r>
        <w:t xml:space="preserve">Chanda, Areendam, and Sujana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p>
    <w:bookmarkEnd w:id="67"/>
    <w:bookmarkStart w:id="69" w:name="ref-cook.shahTRoEaS2022"/>
    <w:p>
      <w:pPr>
        <w:pStyle w:val="Bibliography"/>
      </w:pPr>
      <w:r>
        <w:t xml:space="preserve">Cook, C. Justin, and Manisha Shah. 2022.</w:t>
      </w:r>
      <w:r>
        <w:t xml:space="preserve"> </w:t>
      </w:r>
      <w:r>
        <w:t xml:space="preserve">“Aggregate Effects from Public Works:</w:t>
      </w:r>
      <w:r>
        <w:t xml:space="preserve"> </w:t>
      </w:r>
      <w:r>
        <w:t xml:space="preserve">Evidence</w:t>
      </w:r>
      <w:r>
        <w:t xml:space="preserve"> </w:t>
      </w:r>
      <w:r>
        <w:t xml:space="preserve">from</w:t>
      </w:r>
      <w:r>
        <w:t xml:space="preserve"> </w:t>
      </w:r>
      <w:r>
        <w:t xml:space="preserve">India</w:t>
      </w:r>
      <w:r>
        <w:t xml:space="preserve">.”</w:t>
      </w:r>
      <w:r>
        <w:t xml:space="preserve"> </w:t>
      </w:r>
      <w:r>
        <w:rPr>
          <w:i/>
          <w:iCs/>
        </w:rPr>
        <w:t xml:space="preserve">The Review of Economics and Statistics</w:t>
      </w:r>
      <w:r>
        <w:t xml:space="preserve"> </w:t>
      </w:r>
      <w:r>
        <w:t xml:space="preserve">104 (4): 797–806.</w:t>
      </w:r>
      <w:r>
        <w:t xml:space="preserve"> </w:t>
      </w:r>
      <w:hyperlink r:id="rId68">
        <w:r>
          <w:rPr>
            <w:rStyle w:val="Hyperlink"/>
          </w:rPr>
          <w:t xml:space="preserve">https://doi.org/10.1162/rest_a_00993</w:t>
        </w:r>
      </w:hyperlink>
      <w:r>
        <w:t xml:space="preserve">.</w:t>
      </w:r>
    </w:p>
    <w:bookmarkEnd w:id="69"/>
    <w:bookmarkStart w:id="70" w:name="ref-ertur2007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p>
    <w:bookmarkEnd w:id="70"/>
    <w:bookmarkStart w:id="71" w:name="ref-fischer2011spatial"/>
    <w:p>
      <w:pPr>
        <w:pStyle w:val="Bibliography"/>
      </w:pPr>
      <w:r>
        <w:t xml:space="preserve">Fischer, Manfred M. 2011.</w:t>
      </w:r>
      <w:r>
        <w:t xml:space="preserve"> </w:t>
      </w:r>
      <w:r>
        <w:t xml:space="preserve">“A Spatial Mankiw–Romer–Weil Model: Theory and Evidence.”</w:t>
      </w:r>
      <w:r>
        <w:t xml:space="preserve"> </w:t>
      </w:r>
      <w:r>
        <w:rPr>
          <w:i/>
          <w:iCs/>
        </w:rPr>
        <w:t xml:space="preserve">The Annals of Regional Science</w:t>
      </w:r>
      <w:r>
        <w:t xml:space="preserve"> </w:t>
      </w:r>
      <w:r>
        <w:t xml:space="preserve">47 (2): 419–36.</w:t>
      </w:r>
    </w:p>
    <w:bookmarkEnd w:id="71"/>
    <w:bookmarkStart w:id="72" w:name="ref-gennaioli2014growth"/>
    <w:p>
      <w:pPr>
        <w:pStyle w:val="Bibliography"/>
      </w:pPr>
      <w:r>
        <w:t xml:space="preserve">Gennaioli, Nicola, Rafael La Porta, Florencio Lopez De 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p>
    <w:bookmarkEnd w:id="72"/>
    <w:bookmarkStart w:id="73" w:name="ref-henderson2012"/>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p>
    <w:bookmarkEnd w:id="73"/>
    <w:bookmarkStart w:id="75" w:name="ref-jha.talathiEDaCC2023"/>
    <w:p>
      <w:pPr>
        <w:pStyle w:val="Bibliography"/>
      </w:pPr>
      <w:r>
        <w:t xml:space="preserve">Jha, Priyaranjan, and Karan Talathi. 2023.</w:t>
      </w:r>
      <w:r>
        <w:t xml:space="preserve"> </w:t>
      </w:r>
      <w:r>
        <w:t xml:space="preserve">“Impact of Colonial Institutions on Economic Growth and Development in</w:t>
      </w:r>
      <w:r>
        <w:t xml:space="preserve"> </w:t>
      </w:r>
      <w:r>
        <w:t xml:space="preserve">India</w:t>
      </w:r>
      <w:r>
        <w:t xml:space="preserve">: Evidence from Night Lights Data.”</w:t>
      </w:r>
      <w:r>
        <w:t xml:space="preserve"> </w:t>
      </w:r>
      <w:r>
        <w:rPr>
          <w:i/>
          <w:iCs/>
        </w:rPr>
        <w:t xml:space="preserve">Economic Development and Cultural Change</w:t>
      </w:r>
      <w:r>
        <w:t xml:space="preserve"> </w:t>
      </w:r>
      <w:r>
        <w:t xml:space="preserve">72 (4): 1653–1708.</w:t>
      </w:r>
      <w:r>
        <w:t xml:space="preserve"> </w:t>
      </w:r>
      <w:hyperlink r:id="rId74">
        <w:r>
          <w:rPr>
            <w:rStyle w:val="Hyperlink"/>
          </w:rPr>
          <w:t xml:space="preserve">https://doi.org/10.1086/725058</w:t>
        </w:r>
      </w:hyperlink>
      <w:r>
        <w:t xml:space="preserve">.</w:t>
      </w:r>
    </w:p>
    <w:bookmarkEnd w:id="75"/>
    <w:bookmarkStart w:id="76" w:name="ref-lessmann2017"/>
    <w:p>
      <w:pPr>
        <w:pStyle w:val="Bibliography"/>
      </w:pPr>
      <w:r>
        <w:t xml:space="preserve">Lessmann, Christian, and André Seidel. 2017.</w:t>
      </w:r>
      <w:r>
        <w:t xml:space="preserve"> </w:t>
      </w:r>
      <w:r>
        <w:t xml:space="preserve">“Regional Inequality, Convergence, and Its Determinants–a View from Outer Space.”</w:t>
      </w:r>
      <w:r>
        <w:t xml:space="preserve"> </w:t>
      </w:r>
      <w:r>
        <w:rPr>
          <w:i/>
          <w:iCs/>
        </w:rPr>
        <w:t xml:space="preserve">European Economic Review</w:t>
      </w:r>
      <w:r>
        <w:t xml:space="preserve"> </w:t>
      </w:r>
      <w:r>
        <w:t xml:space="preserve">92: 110–32.</w:t>
      </w:r>
    </w:p>
    <w:bookmarkEnd w:id="76"/>
    <w:bookmarkStart w:id="78" w:name="ref-pinkovskiy2016newer"/>
    <w:p>
      <w:pPr>
        <w:pStyle w:val="Bibliography"/>
      </w:pPr>
      <w:r>
        <w:t xml:space="preserve">Pinkovskiy, Maxim, and Xavier Sala-i-Martin. 2016.</w:t>
      </w:r>
      <w:r>
        <w:t xml:space="preserve"> </w:t>
      </w:r>
      <w:r>
        <w:t xml:space="preserve">“Lights, Camera … Income! Illuminating the National Accounts-Household Surveys Debate.”</w:t>
      </w:r>
      <w:r>
        <w:t xml:space="preserve"> </w:t>
      </w:r>
      <w:r>
        <w:rPr>
          <w:i/>
          <w:iCs/>
        </w:rPr>
        <w:t xml:space="preserve">The Quarterly Journal of Economics</w:t>
      </w:r>
      <w:r>
        <w:t xml:space="preserve"> </w:t>
      </w:r>
      <w:r>
        <w:t xml:space="preserve">131 (2): 579–631.</w:t>
      </w:r>
      <w:r>
        <w:t xml:space="preserve"> </w:t>
      </w:r>
      <w:hyperlink r:id="rId77">
        <w:r>
          <w:rPr>
            <w:rStyle w:val="Hyperlink"/>
          </w:rPr>
          <w:t xml:space="preserve">https://doi.org/10.1093/qje/qjw003</w:t>
        </w:r>
      </w:hyperlink>
      <w:r>
        <w:t xml:space="preserve">.</w:t>
      </w:r>
    </w:p>
    <w:bookmarkEnd w:id="78"/>
    <w:bookmarkEnd w:id="79"/>
    <w:bookmarkEnd w:id="8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4">
    <w:p>
      <w:pPr>
        <w:pStyle w:val="FootnoteText"/>
      </w:pPr>
      <w:r>
        <w:rPr>
          <w:rStyle w:val="FootnoteReference"/>
        </w:rPr>
        <w:footnoteRef/>
      </w:r>
      <w:r>
        <w:t xml:space="preserve"> </w:t>
      </w:r>
      <w:r>
        <w:t xml:space="preserve">The Interactive web application is available at</w:t>
      </w:r>
      <w:r>
        <w:t xml:space="preserve"> </w:t>
      </w:r>
      <w:hyperlink r:id="rId35">
        <w:r>
          <w:rPr>
            <w:rStyle w:val="Hyperlink"/>
          </w:rPr>
          <w:t xml:space="preserve">https://bit.ly/india-rc-ntl</w:t>
        </w:r>
      </w:hyperlink>
      <w:r>
        <w:t xml:space="preserve">.</w:t>
      </w:r>
    </w:p>
  </w:footnote>
  <w:footnote w:id="44">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51" Target="media/rId51.png" /><Relationship Type="http://schemas.openxmlformats.org/officeDocument/2006/relationships/image" Id="rId45" Target="media/rId45.png" /><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preview.html#cell-fig-dependence-combined" TargetMode="External" /><Relationship Type="http://schemas.openxmlformats.org/officeDocument/2006/relationships/hyperlink" Id="rId49" Target="https://quarcs-lab.github.io/project2025s/notebooks/scatterplots-preview.html#cell-fig-convergence" TargetMode="External" /></Relationships>
</file>

<file path=word/_rels/footnotes.xml.rels><?xml version="1.0" encoding="UTF-8"?><Relationships xmlns="http://schemas.openxmlformats.org/package/2006/relationships"><Relationship Type="http://schemas.openxmlformats.org/officeDocument/2006/relationships/hyperlink" Id="rId35" Target="https://bit.ly/india-rc-ntl" TargetMode="External" /><Relationship Type="http://schemas.openxmlformats.org/officeDocument/2006/relationships/hyperlink" Id="rId65" Target="https://doi.org/10.1016/j.jmacro.2022.103438" TargetMode="External" /><Relationship Type="http://schemas.openxmlformats.org/officeDocument/2006/relationships/hyperlink" Id="rId74" Target="https://doi.org/10.1086/725058" TargetMode="External" /><Relationship Type="http://schemas.openxmlformats.org/officeDocument/2006/relationships/hyperlink" Id="rId77" Target="https://doi.org/10.1093/qje/qjw003" TargetMode="External" /><Relationship Type="http://schemas.openxmlformats.org/officeDocument/2006/relationships/hyperlink" Id="rId60" Target="https://doi.org/10.1111/ecin.12967" TargetMode="External" /><Relationship Type="http://schemas.openxmlformats.org/officeDocument/2006/relationships/hyperlink" Id="rId68" Target="https://doi.org/10.1162/rest_a_00993" TargetMode="External" /><Relationship Type="http://schemas.openxmlformats.org/officeDocument/2006/relationships/hyperlink" Id="rId55" Target="https://quarcs-lab.github.io/project2025s/notebooks/dependence-preview.html#cell-fig-dependence-combined" TargetMode="External" /><Relationship Type="http://schemas.openxmlformats.org/officeDocument/2006/relationships/hyperlink" Id="rId49" Target="https://quarcs-lab.github.io/project2025s/notebooks/scatterplots-preview.html#cell-fig-convergenc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 A view from outer space</dc:title>
  <dc:creator>Carlos Mendez; Sujana Kabiraj; Jiaqi Li</dc:creator>
  <cp:keywords>Regional luminosity, Satellite nighttime lights, Regional convergence, Spatial spillovers, Spatial Durbin model, India</cp:keywords>
  <dcterms:created xsi:type="dcterms:W3CDTF">2026-02-05T01:46:59Z</dcterms:created>
  <dcterms:modified xsi:type="dcterms:W3CDTF">2026-02-05T01:46:59Z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Replication and extension using spatial Durbin models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